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C998" w14:textId="6F936D69" w:rsidR="00656F71" w:rsidRPr="00656F71" w:rsidRDefault="00153BCE" w:rsidP="00153BCE">
      <w:pPr>
        <w:pStyle w:val="1"/>
        <w:shd w:val="clear" w:color="auto" w:fill="FFFFFF"/>
        <w:spacing w:before="225" w:after="0"/>
        <w:rPr>
          <w:rFonts w:ascii="GOTHICB" w:eastAsia="굴림" w:hAnsi="GOTHICB" w:cs="굴림" w:hint="eastAsia"/>
          <w:b/>
          <w:bCs/>
          <w:color w:val="5B6169"/>
          <w:kern w:val="36"/>
        </w:rPr>
      </w:pPr>
      <w:proofErr w:type="spellStart"/>
      <w:r w:rsidRPr="00153BCE">
        <w:rPr>
          <w:rFonts w:ascii="GOTHICB" w:eastAsia="굴림" w:hAnsi="GOTHICB" w:cs="굴림"/>
          <w:b/>
          <w:bCs/>
          <w:kern w:val="36"/>
        </w:rPr>
        <w:t>장강롱</w:t>
      </w:r>
      <w:proofErr w:type="spellEnd"/>
      <w:r w:rsidRPr="00153BCE">
        <w:rPr>
          <w:rFonts w:ascii="GOTHICB" w:eastAsia="굴림" w:hAnsi="GOTHICB" w:cs="굴림"/>
          <w:b/>
          <w:bCs/>
          <w:kern w:val="36"/>
        </w:rPr>
        <w:t xml:space="preserve"> </w:t>
      </w:r>
      <w:r w:rsidRPr="00153BCE">
        <w:rPr>
          <w:rFonts w:ascii="GOTHICB" w:eastAsia="굴림" w:hAnsi="GOTHICB" w:cs="굴림"/>
          <w:b/>
          <w:bCs/>
          <w:kern w:val="36"/>
        </w:rPr>
        <w:t>박사</w:t>
      </w:r>
      <w:r w:rsidRPr="00153BCE">
        <w:rPr>
          <w:rFonts w:ascii="GOTHICB" w:eastAsia="굴림" w:hAnsi="GOTHICB" w:cs="굴림"/>
          <w:b/>
          <w:bCs/>
          <w:kern w:val="36"/>
        </w:rPr>
        <w:t xml:space="preserve"> (</w:t>
      </w:r>
      <w:r>
        <w:rPr>
          <w:rFonts w:ascii="GOTHICB" w:eastAsia="굴림" w:hAnsi="GOTHICB" w:cs="굴림" w:hint="eastAsia"/>
          <w:b/>
          <w:bCs/>
          <w:kern w:val="36"/>
        </w:rPr>
        <w:t>중국</w:t>
      </w:r>
      <w:r>
        <w:rPr>
          <w:rFonts w:ascii="GOTHICB" w:eastAsia="굴림" w:hAnsi="GOTHICB" w:cs="굴림" w:hint="eastAsia"/>
          <w:b/>
          <w:bCs/>
          <w:kern w:val="36"/>
        </w:rPr>
        <w:t xml:space="preserve"> </w:t>
      </w:r>
      <w:r w:rsidRPr="00153BCE">
        <w:rPr>
          <w:rFonts w:ascii="GOTHICB" w:eastAsia="굴림" w:hAnsi="GOTHICB" w:cs="굴림"/>
          <w:b/>
          <w:bCs/>
          <w:kern w:val="36"/>
        </w:rPr>
        <w:t>시안</w:t>
      </w:r>
      <w:r w:rsidRPr="00153BCE">
        <w:rPr>
          <w:rFonts w:ascii="GOTHICB" w:eastAsia="굴림" w:hAnsi="GOTHICB" w:cs="굴림"/>
          <w:b/>
          <w:bCs/>
          <w:kern w:val="36"/>
        </w:rPr>
        <w:t xml:space="preserve"> </w:t>
      </w:r>
      <w:r w:rsidRPr="00153BCE">
        <w:rPr>
          <w:rFonts w:ascii="GOTHICB" w:eastAsia="굴림" w:hAnsi="GOTHICB" w:cs="굴림"/>
          <w:b/>
          <w:bCs/>
          <w:kern w:val="36"/>
        </w:rPr>
        <w:t>자오퉁</w:t>
      </w:r>
      <w:r w:rsidRPr="00153BCE">
        <w:rPr>
          <w:rFonts w:ascii="GOTHICB" w:eastAsia="굴림" w:hAnsi="GOTHICB" w:cs="굴림"/>
          <w:b/>
          <w:bCs/>
          <w:kern w:val="36"/>
        </w:rPr>
        <w:t xml:space="preserve"> </w:t>
      </w:r>
      <w:r w:rsidRPr="00153BCE">
        <w:rPr>
          <w:rFonts w:ascii="GOTHICB" w:eastAsia="굴림" w:hAnsi="GOTHICB" w:cs="굴림"/>
          <w:b/>
          <w:bCs/>
          <w:kern w:val="36"/>
        </w:rPr>
        <w:t>대학교</w:t>
      </w:r>
      <w:r w:rsidRPr="00153BCE">
        <w:rPr>
          <w:rFonts w:ascii="GOTHICB" w:eastAsia="굴림" w:hAnsi="GOTHICB" w:cs="굴림"/>
          <w:b/>
          <w:bCs/>
          <w:kern w:val="36"/>
        </w:rPr>
        <w:t>)</w:t>
      </w:r>
    </w:p>
    <w:p w14:paraId="6A85D470" w14:textId="77777777" w:rsidR="00656F71" w:rsidRPr="00656F71" w:rsidRDefault="00656F71" w:rsidP="00656F71">
      <w:pPr>
        <w:widowControl/>
        <w:shd w:val="clear" w:color="auto" w:fill="FFFFFF"/>
        <w:wordWrap/>
        <w:autoSpaceDE/>
        <w:autoSpaceDN/>
        <w:spacing w:before="225" w:after="225" w:line="420" w:lineRule="atLeast"/>
        <w:jc w:val="left"/>
        <w:rPr>
          <w:rFonts w:ascii="GOTHIC" w:eastAsia="굴림" w:hAnsi="GOTHIC" w:cs="굴림"/>
          <w:color w:val="021325"/>
          <w:kern w:val="0"/>
          <w:sz w:val="29"/>
          <w:szCs w:val="29"/>
        </w:rPr>
      </w:pPr>
      <w:r w:rsidRPr="00656F71">
        <w:rPr>
          <w:rFonts w:ascii="GOTHIC" w:eastAsia="굴림" w:hAnsi="GOTHIC" w:cs="굴림" w:hint="eastAsia"/>
          <w:noProof/>
          <w:color w:val="021325"/>
          <w:kern w:val="0"/>
          <w:sz w:val="29"/>
          <w:szCs w:val="29"/>
        </w:rPr>
        <w:drawing>
          <wp:inline distT="0" distB="0" distL="0" distR="0" wp14:anchorId="26C7E734" wp14:editId="5DFD7E45">
            <wp:extent cx="2162175" cy="23812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CBC7" w14:textId="77777777" w:rsidR="00153BCE" w:rsidRDefault="00153BCE" w:rsidP="00656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Noto Sans" w:hAnsi="Noto Sans" w:cs="Noto Sans"/>
          <w:color w:val="000000"/>
          <w:sz w:val="22"/>
          <w:shd w:val="clear" w:color="auto" w:fill="FDFDFD"/>
        </w:rPr>
      </w:pP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미토콘드리아는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세포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ATP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공급과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세포자살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신호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전달의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핵심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기관이다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.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생리적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·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병리적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조건에서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미토콘드리아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대사를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탐색하고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,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미토콘드리아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기능을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향상시키고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신경퇴행과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영양불균형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과정에서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손상된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미토콘드리아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항상성을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유지하기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위해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미토콘드리아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표적분자를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추구하는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일에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종사하고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있다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.</w:t>
      </w:r>
      <w:r w:rsidRPr="00153BCE">
        <w:rPr>
          <w:rFonts w:ascii="Noto Sans" w:hAnsi="Noto Sans" w:cs="Noto Sans"/>
          <w:color w:val="000000"/>
          <w:sz w:val="22"/>
        </w:rPr>
        <w:br/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2007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H2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의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항산화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효과가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발견된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이후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최근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H2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가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미토콘드리아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호흡능력과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2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상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효소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활성화에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미치는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유익한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효과를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확인했다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.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이에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H2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가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'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미토콘드리아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영양소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'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작용해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노화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관련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질병과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대사증후군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예방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및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치료에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매우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유망한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분자가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될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것으로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판단했다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.</w:t>
      </w:r>
    </w:p>
    <w:p w14:paraId="37854155" w14:textId="0E2823B0" w:rsidR="00153BCE" w:rsidRDefault="00153BCE" w:rsidP="00656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Noto Sans" w:hAnsi="Noto Sans" w:cs="Noto Sans"/>
          <w:color w:val="000000"/>
          <w:sz w:val="22"/>
          <w:shd w:val="clear" w:color="auto" w:fill="FDFDFD"/>
        </w:rPr>
      </w:pPr>
      <w:r w:rsidRPr="00153BCE">
        <w:rPr>
          <w:rFonts w:ascii="Noto Sans" w:hAnsi="Noto Sans" w:cs="Noto Sans"/>
          <w:color w:val="000000"/>
          <w:sz w:val="22"/>
        </w:rPr>
        <w:br/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중국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시안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자오퉁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대학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생명과학과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proofErr w:type="spellStart"/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교수겸</w:t>
      </w:r>
      <w:proofErr w:type="spellEnd"/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부학장</w:t>
      </w:r>
    </w:p>
    <w:p w14:paraId="78946A8F" w14:textId="70F30EA2" w:rsidR="00153BCE" w:rsidRDefault="00153BCE" w:rsidP="00656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Noto Sans" w:hAnsi="Noto Sans" w:cs="Noto Sans"/>
          <w:color w:val="000000"/>
          <w:sz w:val="22"/>
          <w:shd w:val="clear" w:color="auto" w:fill="FDFDFD"/>
        </w:rPr>
      </w:pPr>
      <w:r w:rsidRPr="00153BCE">
        <w:rPr>
          <w:rFonts w:ascii="Noto Sans" w:hAnsi="Noto Sans" w:cs="Noto Sans"/>
          <w:color w:val="000000"/>
          <w:sz w:val="22"/>
        </w:rPr>
        <w:br/>
      </w:r>
      <w:r w:rsidRPr="00153BCE">
        <w:rPr>
          <w:rFonts w:ascii="Noto Sans" w:hAnsi="Noto Sans" w:cs="Noto Sans"/>
          <w:b/>
          <w:bCs/>
          <w:color w:val="000000"/>
          <w:sz w:val="24"/>
          <w:szCs w:val="24"/>
          <w:shd w:val="clear" w:color="auto" w:fill="FDFDFD"/>
        </w:rPr>
        <w:t>전문분야</w:t>
      </w:r>
      <w:r w:rsidRPr="00153BCE">
        <w:rPr>
          <w:rFonts w:ascii="Noto Sans" w:hAnsi="Noto Sans" w:cs="Noto Sans"/>
          <w:color w:val="000000"/>
          <w:sz w:val="22"/>
        </w:rPr>
        <w:br/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미토콘드리아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변성과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노화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,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신경퇴행성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질환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및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대사증후군에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대한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치료적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 xml:space="preserve"> </w:t>
      </w:r>
      <w:r w:rsidRPr="00153BCE">
        <w:rPr>
          <w:rFonts w:ascii="Noto Sans" w:hAnsi="Noto Sans" w:cs="Noto Sans"/>
          <w:color w:val="000000"/>
          <w:sz w:val="22"/>
          <w:shd w:val="clear" w:color="auto" w:fill="FDFDFD"/>
        </w:rPr>
        <w:t>개입</w:t>
      </w:r>
    </w:p>
    <w:p w14:paraId="01C3D73E" w14:textId="77777777" w:rsidR="00153BCE" w:rsidRPr="00153BCE" w:rsidRDefault="00153BCE" w:rsidP="00656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GOTHIC" w:eastAsia="굴림" w:hAnsi="GOTHIC" w:cs="굴림" w:hint="eastAsia"/>
          <w:color w:val="021325"/>
          <w:kern w:val="0"/>
          <w:sz w:val="22"/>
        </w:rPr>
      </w:pPr>
    </w:p>
    <w:p w14:paraId="6AC40A96" w14:textId="77777777" w:rsidR="00656F71" w:rsidRPr="00656F71" w:rsidRDefault="00656F71" w:rsidP="00656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GOTHICB" w:eastAsia="굴림" w:hAnsi="GOTHICB" w:cs="굴림"/>
          <w:color w:val="2A4B75"/>
          <w:kern w:val="0"/>
          <w:sz w:val="28"/>
          <w:szCs w:val="28"/>
        </w:rPr>
      </w:pPr>
      <w:r w:rsidRPr="00656F71">
        <w:rPr>
          <w:rFonts w:ascii="GOTHICB" w:eastAsia="굴림" w:hAnsi="GOTHICB" w:cs="굴림"/>
          <w:color w:val="2A4B75"/>
          <w:kern w:val="0"/>
          <w:sz w:val="28"/>
          <w:szCs w:val="28"/>
        </w:rPr>
        <w:t>Career Summary</w:t>
      </w:r>
    </w:p>
    <w:p w14:paraId="7DD6FF05" w14:textId="77777777" w:rsidR="00656F71" w:rsidRPr="00656F71" w:rsidRDefault="00656F71" w:rsidP="00656F71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420" w:lineRule="atLeast"/>
        <w:ind w:left="990"/>
        <w:jc w:val="left"/>
        <w:rPr>
          <w:rFonts w:ascii="GOTHIC" w:eastAsia="굴림" w:hAnsi="GOTHIC" w:cs="굴림"/>
          <w:color w:val="021325"/>
          <w:kern w:val="0"/>
          <w:sz w:val="30"/>
          <w:szCs w:val="30"/>
        </w:rPr>
      </w:pPr>
      <w:r w:rsidRPr="00656F71">
        <w:rPr>
          <w:rFonts w:ascii="GOTHICB" w:eastAsia="굴림" w:hAnsi="GOTHICB" w:cs="굴림"/>
          <w:color w:val="021325"/>
          <w:kern w:val="0"/>
          <w:sz w:val="30"/>
          <w:szCs w:val="30"/>
        </w:rPr>
        <w:t>2011-</w:t>
      </w:r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 xml:space="preserve"> Professor, School of Life Science and Technology, Xi’an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>Jiaotong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>Universn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>, China</w:t>
      </w:r>
    </w:p>
    <w:p w14:paraId="3C025D8D" w14:textId="77777777" w:rsidR="00656F71" w:rsidRPr="00656F71" w:rsidRDefault="00656F71" w:rsidP="00656F71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420" w:lineRule="atLeast"/>
        <w:ind w:left="990"/>
        <w:jc w:val="left"/>
        <w:rPr>
          <w:rFonts w:ascii="GOTHIC" w:eastAsia="굴림" w:hAnsi="GOTHIC" w:cs="굴림"/>
          <w:color w:val="021325"/>
          <w:kern w:val="0"/>
          <w:sz w:val="30"/>
          <w:szCs w:val="30"/>
        </w:rPr>
      </w:pPr>
      <w:r w:rsidRPr="00656F71">
        <w:rPr>
          <w:rFonts w:ascii="GOTHICB" w:eastAsia="굴림" w:hAnsi="GOTHICB" w:cs="굴림"/>
          <w:color w:val="021325"/>
          <w:kern w:val="0"/>
          <w:sz w:val="30"/>
          <w:szCs w:val="30"/>
        </w:rPr>
        <w:t>2009-2011</w:t>
      </w:r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> Associate Professor, School of Life Science and Technology, Xi’an University, Xi’an, China</w:t>
      </w:r>
    </w:p>
    <w:p w14:paraId="41CBB214" w14:textId="77777777" w:rsidR="00656F71" w:rsidRPr="00656F71" w:rsidRDefault="00656F71" w:rsidP="00656F71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420" w:lineRule="atLeast"/>
        <w:ind w:left="990"/>
        <w:jc w:val="left"/>
        <w:rPr>
          <w:rFonts w:ascii="GOTHIC" w:eastAsia="굴림" w:hAnsi="GOTHIC" w:cs="굴림"/>
          <w:color w:val="021325"/>
          <w:kern w:val="0"/>
          <w:sz w:val="30"/>
          <w:szCs w:val="30"/>
        </w:rPr>
      </w:pPr>
      <w:r w:rsidRPr="00656F71">
        <w:rPr>
          <w:rFonts w:ascii="GOTHICB" w:eastAsia="굴림" w:hAnsi="GOTHICB" w:cs="굴림"/>
          <w:color w:val="021325"/>
          <w:kern w:val="0"/>
          <w:sz w:val="30"/>
          <w:szCs w:val="30"/>
        </w:rPr>
        <w:t>2008-2009</w:t>
      </w:r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> Postdoctoral fellow, Banner (Sun) search Institute, AZ, USA</w:t>
      </w:r>
    </w:p>
    <w:p w14:paraId="3E7B8A86" w14:textId="5823085E" w:rsidR="00656F71" w:rsidRDefault="00656F71" w:rsidP="00656F71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420" w:lineRule="atLeast"/>
        <w:ind w:left="990"/>
        <w:jc w:val="left"/>
        <w:rPr>
          <w:rFonts w:ascii="GOTHIC" w:eastAsia="굴림" w:hAnsi="GOTHIC" w:cs="굴림"/>
          <w:color w:val="021325"/>
          <w:kern w:val="0"/>
          <w:sz w:val="30"/>
          <w:szCs w:val="30"/>
        </w:rPr>
      </w:pPr>
      <w:r w:rsidRPr="00656F71">
        <w:rPr>
          <w:rFonts w:ascii="GOTHICB" w:eastAsia="굴림" w:hAnsi="GOTHICB" w:cs="굴림"/>
          <w:color w:val="021325"/>
          <w:kern w:val="0"/>
          <w:sz w:val="30"/>
          <w:szCs w:val="30"/>
        </w:rPr>
        <w:lastRenderedPageBreak/>
        <w:t>2006-2008</w:t>
      </w:r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> Postdoctoral fellow, Institute for Brain Aging and Dementia, University of California,</w:t>
      </w:r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br/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>Irvine ,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 xml:space="preserve"> CA, and Children’s Hospital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>Oearch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30"/>
          <w:szCs w:val="30"/>
        </w:rPr>
        <w:t xml:space="preserve"> Institute, CA, USA</w:t>
      </w:r>
    </w:p>
    <w:p w14:paraId="5304F429" w14:textId="77777777" w:rsidR="00153BCE" w:rsidRPr="00656F71" w:rsidRDefault="00153BCE" w:rsidP="00153BCE">
      <w:pPr>
        <w:widowControl/>
        <w:shd w:val="clear" w:color="auto" w:fill="FFFFFF"/>
        <w:wordWrap/>
        <w:autoSpaceDE/>
        <w:autoSpaceDN/>
        <w:spacing w:after="0" w:line="420" w:lineRule="atLeast"/>
        <w:ind w:left="990"/>
        <w:jc w:val="left"/>
        <w:rPr>
          <w:rFonts w:ascii="GOTHIC" w:eastAsia="굴림" w:hAnsi="GOTHIC" w:cs="굴림" w:hint="eastAsia"/>
          <w:color w:val="021325"/>
          <w:kern w:val="0"/>
          <w:sz w:val="30"/>
          <w:szCs w:val="30"/>
        </w:rPr>
      </w:pPr>
    </w:p>
    <w:p w14:paraId="247E07AE" w14:textId="77777777" w:rsidR="00656F71" w:rsidRPr="00656F71" w:rsidRDefault="00656F71" w:rsidP="00656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GOTHICB" w:eastAsia="굴림" w:hAnsi="GOTHICB" w:cs="굴림"/>
          <w:color w:val="2A4B75"/>
          <w:kern w:val="0"/>
          <w:sz w:val="28"/>
          <w:szCs w:val="28"/>
        </w:rPr>
      </w:pPr>
      <w:r w:rsidRPr="00656F71">
        <w:rPr>
          <w:rFonts w:ascii="GOTHICB" w:eastAsia="굴림" w:hAnsi="GOTHICB" w:cs="굴림"/>
          <w:color w:val="2A4B75"/>
          <w:kern w:val="0"/>
          <w:sz w:val="28"/>
          <w:szCs w:val="28"/>
        </w:rPr>
        <w:t>Research publication</w:t>
      </w:r>
    </w:p>
    <w:p w14:paraId="11F95F40" w14:textId="77777777" w:rsidR="00656F71" w:rsidRPr="00656F71" w:rsidRDefault="00656F71" w:rsidP="00656F71">
      <w:pPr>
        <w:widowControl/>
        <w:shd w:val="clear" w:color="auto" w:fill="FFFFFF"/>
        <w:wordWrap/>
        <w:autoSpaceDE/>
        <w:autoSpaceDN/>
        <w:spacing w:after="0" w:line="420" w:lineRule="atLeast"/>
        <w:jc w:val="left"/>
        <w:rPr>
          <w:rFonts w:ascii="GOTHIC" w:eastAsia="굴림" w:hAnsi="GOTHIC" w:cs="굴림"/>
          <w:color w:val="021325"/>
          <w:kern w:val="0"/>
          <w:sz w:val="29"/>
          <w:szCs w:val="29"/>
        </w:rPr>
      </w:pP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1. Hu R,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Diao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J, Li J, Tang Z, Li X,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Leitz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J, Long J, Liu J, Yu D, Zhao Q. (2016) Intrinsic and membrane-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facilitated ?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-synuclein oligomerization revealed by label-free detection through solid-state nanopores. Sci Rep. [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Epub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ahead of print] IF 5.578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2. Wang P, Jia L, Chen B, Zhang L, Liu J, Long J*, Li Y. (2016) Hydrogen Inhalation is Superior to Mild Hypothermia in Improving Cardiac Function and Neurological Outcome in an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Asphyxial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Cardiac Arrest Model of Rats. Shock. [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Epub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ahead of print] IF 3.045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3. Huang H, Yang L, Zhang P,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Qiu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K, Huang J, Chen Y,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Diao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J, Liu J, Ji L, Long J*, Chao H*. (2016) Real-time tracking mitochondrial dynamic remodeling with two-photon phosphorescent iridium (III) complexes. Biomaterials. IF 8.557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4. Hou C, Wang Y, Zhu E, Yan C, Zhao L, Wang X,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Qiu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Y, Shen H, Sun X, Feng Z, Liu J*, Long J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*.(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2016) Coral calcium hydride prevents hepatic steatosis in high fat diet-induced obese rats: A potent mitochondrial nutrient and phase II enzyme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inducer.Biochem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Pharmacol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. IF 5.009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5. Liu J, Peng Y, Wang X, Fan Y, Qin C, Shi L, Tang Y, Cao K, Li H, Long J*, Liu J*. (2016) Mitochondrial Dysfunction Launches Dexamethasone-Induced Skeletal Muscle Atrophy via AMPK/FOXO3 Signaling. Mol Pharm. 13(1):73-84. IF 4.384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6. Tang Y, Peng Y, Liu J, Shi L, Wang Y, Long J*, Liu J*. (2015) Early inflammation-associated factors blunt sterol regulatory element-binding proteins-1-mediated lipogenesis in high-fat diet-fed APPSWE /PSEN1dE9 mouse model of Alzheimer’s disease. J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Neurochem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. [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Epub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ahead of print] IF 4.281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7. Tang Y, Liu J, Long J*. (2015) Phosphatase and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tensin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homolog-induced putative kinase 1 and Parkin in diabetic heart: Role of 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lastRenderedPageBreak/>
        <w:t xml:space="preserve">mitophagy. J Diabetes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Investig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3, 250-5. IF 1.8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8. Zheng A, Li H, Xu J, Cao K, Li H, Pu W, Yang Z, Peng Y, Long J, Liu J, Feng 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Z.(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2015)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Hydroxytyrosol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improves mitochondrial function and reduces oxidative stress in the brain of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db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/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db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mice: role of AMP-activated protein kinase activation. Br J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Nutr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, 111667-76. IF 3.453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9. Sun L, Liu T, Li H, Yang L, Meng L, Lu Q, Long 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J.(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2015) Fluorescent and cross-linked organic-inorganic hybrid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nanoshells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for monitoring drug delivery. ACS Appl Mater Interfaces 8, 4990-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7.IF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6.723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10. Luo C, Li Y, Yang L, Zheng Y, Long J, Jia J, Xiao S, Liu J. (2014) Activation of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Erk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and p53 regulates copper oxide nanoparticle-induced cytotoxicity in keratinocytes and </w:t>
      </w:r>
      <w:proofErr w:type="spellStart"/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fibroblasts.Int</w:t>
      </w:r>
      <w:proofErr w:type="spellEnd"/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J Nanomedicine 9,4763-72. IF 4.383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11. Zou, X., Yan, C., Shi, Y., Cao, K., Xu, J., Wang, X., Chen, C., Luo, C., Li, Y., Gao, J., Pang, W., Zhao, J., Zhao, F., Li, H., Zheng, A., Sun, W., Long, J., Szeto, I. M., Zhao, Y., Dong, Z., Zhang, P., Wang, J., Lu, W., Zhang, Y., Liu, J., and Feng, Z. (2014) Mitochondrial dysfunction in obesity-associated nonalcoholic fatty liver disease: the protective effects of pomegranate with its active component punicalagin.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Antioxid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Redox Signal 21, 1557-1570. IF 7.67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12. Zhao, L., Zou, X., Feng, Z., Luo, C., Liu, J., Li, H., Chang, L., Wang, H., Li, Y., Long, J*., and Gao, F. (2014) Evidence for association of mitochondrial metabolism alteration with lipid accumulation in aging rats. Exp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Gerontol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56, 3-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12.IF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3.53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13. Tang, Y., Mi, C., Liu, J., Gao, F., and Long, J*. (2014) Compromised mitochondrial remodeling in compensatory hypertrophied myocardium of spontaneously hypertensive rat. Cardiovasc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Pathol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23, 101-106. IF 2.4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14. Peng, Y., Liu, J., Tang, Y., Han, T., Han, S., Li, H., Hou, C., and Long, J*. (2014) High-Fat-Diet-Induced Weight Gain Ameliorates Bone Loss without Exacerbating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AbetaPP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Processing and Cognition in Female APP/PS1 Mice. Front Cell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Neurosci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8, 225. IF 4.18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15. Luo, C., Li, Y., Zhou, B., Yang, L., Li, H., Feng, Z., Long, J., and Liu, J. (2014) A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monocarbonyl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analogue of curcumin, 1,5-bis(3-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lastRenderedPageBreak/>
        <w:t xml:space="preserve">hydroxyphenyl)-1,4-pentadiene-3-one (Ca 37), exhibits potent growth suppressive activity and enhances the inhibitory effect of curcumin on human prostate cancer </w:t>
      </w:r>
      <w:proofErr w:type="spellStart"/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cells.Apoptosis</w:t>
      </w:r>
      <w:proofErr w:type="spellEnd"/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19, 542-553. IF 3.61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16. Luo, C., Li, Y., Yang, L., Zheng, Y., Long, J., Jia, J., Xiao, S., and Liu, J. (2014) Activation of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Erk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and p53 regulates copper oxide nanoparticle-induced cytotoxicity in keratinocytes and fibroblasts. Int J Nanomedicine 9, 4763-4772. IF 4.20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17. Luo, C., Li, Y., Yang, L., Wang, X., Long, J., and Liu, J. (2014) Superparamagnetic iron oxide nanoparticles exacerbate the risks of reactive oxygen species-mediated external stresses. Arch </w:t>
      </w:r>
      <w:proofErr w:type="spellStart"/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Toxicol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.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IF 5.1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18. Liu, Y., Long, J., and Liu, J. (2014) Mitochondrial free radical theory of aging: who moved my premise?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Geriatr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Gerontol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Int 14, 740-749. IF 1.58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19. Liu, J., Tang, Y., Feng, Z., and Long, J*. (2014) (-)-Epigallocatechin-3-gallate attenuated myocardial mitochondrial dysfunction and autophagy in diabetic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Goto-Kakizaki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(GK) rats. Free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Radic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Res 48, 898-906. IF 3.00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20. Liu, J., Tang, Y., Feng, Z., Hou, C., Wang, H., Yan, J., Shen, W., Zang, W., and Long, J*. (2014) Acetylated FoxO1 mediates high-glucose induced autophagy in H9c2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cardiomyoblasts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: regulation by a polyphenol -(-)-epigallocatechin-3-gallate. Metabolism 63, 1314-1323. IF 3.61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21. Liu, J., Peng, Y., Feng, Z., Shi, W., Qu, L., Li, Y., and Long, J*. (2014) Reloading functionally ameliorates disuse-induced muscle atrophy by reversing mitochondrial dysfunction, and similar benefits are gained by administering a combination of mitochondrial nutrients. Free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Radic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Biol Med69, 116-128. IF 5.71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22. Chen, C., Han, X., Zou, X., Li, Y., Yang, L., Cao, K., Xu, J., Long, J., Liu, J., and Feng, Z. (2014) 4-methylene-2-octyl-5-oxotetrahydrofuran-3-carboxylic acid (C75), an inhibitor of fatty-acid synthase, suppresses the mitochondrial fatty acid synthesis pathway and impairs mitochondrial function. J Biol Chem 289, 17184-17194. IF 4.6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23. Chang, L., Liu, X., Liu, J., Li, H., Yang, Y., Guo, Z., Xiao, K., Zhang, C., Zhao-Wilson, X.,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andLong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, J*. (2014) D-galactose induces a mitochondrial complex I deficiency in mouse skeletal muscle: potential benefits of 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lastRenderedPageBreak/>
        <w:t>nutrient combination in ameliorating muscle impairment. J Med Food17, 357-364. IF 2.5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24. Cao, K., Zheng, A., Xu, J., Li, H., Liu, J., Peng, Y., Long, J., Zou, X., Li, Y., Chen, C., and Feng, Z. (2014) AMPK activation prevents prenatal stress-induced cognitive impairment: modulation of mitochondrial content and oxidative stress. Free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Radic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Biol Med 75, 156-166. IF 5.71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25. Cao, K., Xu, J., Zou, X., Li, Y., Chen, C., Zheng, A., Li, H., Szeto, I. M., Shi, Y., Long, J., Liu, J., and Feng, Z. (2014)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Hydroxytyrosol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prevents diet-induced metabolic syndrome and attenuates mitochondrial abnormalities in obese mice. Free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Radic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Biol Med 67, 396-407. IF 5.71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26. Luo C, Wang H, Chen X, Cui Y, Li H, Long J, Mo X, Liu J (2013) Protection of H9c2 rat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cardiomyoblasts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against oxidative insults by total paeony glucosides from Radix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Paeoniae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Rubrae.Phytomedicine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21, 20-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24.IF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3.3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27. Luo C, Li Y, Yang L, Feng Z, Long J, Liu J (2013) A cigarette component acrolein induces accelerated senescence in human diploid fibroblast IMR-90 cells. Biogerontology 14, 503-511. IF 3.2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28. Luo C, Li Y, Wang H, Feng Z, Long J*, Liu J (2013) Mitochondrial accumulation under oxidative stress is due to defects in autophagy. J Cell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Biochem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114, 212-219. IF 3.4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29. Luo C, Li Y, Wang H, Cui Y, Feng Z, Li H, Wang Y,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Wurtz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K, Weber P, Long J*, Liu J (2013)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Hydroxytyrosol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promotes superoxide production and defects in autophagy leading to anti-proliferation and apoptosis on human prostate cancer cells.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Curr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Cancer Drug Targets 13, 625-639. IF 4.3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30. Cao K, Xu J, Zou X, Li Y, Chen C, Zheng A, Li H, Szeto IM, Shi Y, Long J, Liu J, Feng Z (2013)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Hydroxytyrosol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prevents diet-induced metabolic syndrome and attenuates mitochondrial abnormalities in obese mice. Free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Radic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Biol Med 67C, 396-407. IF 5.3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31.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Aksenov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V, Long J, Liu J,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Szechtman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H, Khanna P,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Matravadia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S, Rollo CD (2013) A complex dietary supplement augments spatial learning, brain mass, and mitochondrial electron transport chain activity in aging 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lastRenderedPageBreak/>
        <w:t>mice. Age (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Dordr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) 35, 23-33. IF 6.2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32. Yan J, Feng Z, Liu J, Shen W, Wang Y, Wertz K, Weber P, Long J*, Liu J (2012) Enhanced autophagy plays a cardinal role in mitochondrial dysfunction in type 2 diabetic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Goto-Kakizaki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(GK) rats: ameliorating effects of (-)-epigallocatechin-3-gallate. J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Nutr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Biochem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23, 716-724. IF 4.2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33. Long J, He P, Shen Y, Li R (2012) New evidence of mitochondria dysfunction in the female Alzheimer’s disease brain: deficiency of estrogen receptor-beta. J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Alzheimers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Dis 30, 545-558. IF 4.2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34. Long J, Gao M, Kong Y, Shen X, Du X, Son YO, Shi X, Liu J, Mo X (2012) Cardioprotective effect of total paeony glycosides against isoprenaline-induced myocardial ischemia in rats. Phytomedicine19, 672-676. IF 3.3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35. Long J,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Aksenov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V, Rollo CD, Liu J (2012) A complex dietary supplement modulates nitrative stress in normal mice and in a new mouse model of nitrative stress and cognitive aging. Mech Ageing Dev. IF 4.2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36. Liu J, Peng Y, Long J* (2012) The Role of Brain Mitochondrial Estrogen Receptor beta in The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Pathogensis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of Female Alzheimer’s Disease. Progress In Biochemistry 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And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Biophysics, 785-790. IF 0.5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37. Liu J, Peng Y, Cui Z, Wu Z, Qian A, Shang P, Qu L, Li Y, Long J* (2012) Depressed mitochondrial biogenesis and dynamic remodeling in mouse tibialis anterior and gastrocnemius induced by 4-week hindlimb unloading. IUBMB Life. IF 3.8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38. Hao J, Shen W, Sun L, Long J, Sharman E, Shi X, Liu J (2011) Mitochondrial dysfunction in the liver of type 2 diabetic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Goto-Kakizaki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rats: improvement by a combination of nutrients. Br J Nutr106, 648-655. IF 3.2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39. Gao M, Li Y, Sun Y, Shah W, Yang S, Wang Y, Long J* (2011) Benzo[a]pyrene exposure increases toxic biomarkers and morphological disorders in mouse cervix. Basic Clin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Pharmacol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Toxicol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109, 398-406. IF 2.3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40. Gao M, Li Y, Sun Y, Long J, Kong Y, Yang S, Wang Y (2011) A common 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lastRenderedPageBreak/>
        <w:t xml:space="preserve">carcinogen benzo[a]pyrene causes p53 overexpression in mouse cervix via DNA damage.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Mutat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Res 724, 69-75. IF 3.2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41. Gao M, Li Y, Long J, Shah W, Fu L, Lai B, Wang Y (2011) Induction of oxidative stress and DNA damage in cervix in acute treatment with benzo[a]pyrene.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Mutat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Res 719, 52-59. IF 3.2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42. McAllister C, Long J, Bowers A, Walker A, Cao P, Honda S, Harada N,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Staufenbiel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M, Shen Y, Li R (2010) Genetic targeting aromatase in male amyloid precursor protein transgenic mice down-regulates beta-secretase (BACE1) and prevents Alzheimer-like pathology and cognitive </w:t>
      </w:r>
      <w:proofErr w:type="spellStart"/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impairment.J</w:t>
      </w:r>
      <w:proofErr w:type="spellEnd"/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Neurosci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30, 7326-7334.?co-first?IF 7.2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43. Gao M, Long J, Li Y, Shah W, Fu L, Liu J, Wang Y (2010) Mitochondrial decay is involved in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BaP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-induced cervical damage. Free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Radic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Biol Med 49, 1735-1745. IF 5.7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44.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Aldarmaa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J, Liu Z, Long J, Mo X, Ma J, Liu J (2010) Anti-convulsant effect and mechanism of Astragalus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mongholicus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extract in vitro and in vivo: protection against oxidative damage and mitochondrial dysfunction.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Neurochem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Res 35, 33-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41.IF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2.7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45.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Aksenov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V, Long J,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Lokuge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S, Foster JA, Liu J, Rollo CD (2010) Dietary amelioration of locomotor, neurotransmitter and mitochondrial aging. Exp Biol Med (Maywood) 235, 66-</w:t>
      </w:r>
      <w:proofErr w:type="gram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76.IF</w:t>
      </w:r>
      <w:proofErr w:type="gram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2.7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46. Long J, Ma J, Luo C, Mo X, Sun L, Zang W, Liu J (2009) Comparison of two methods for assaying complex I activity in mitochondria isolated from rat liver, brain and heart. Life Sci 85, 276-280.IF 2.5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47. Long J, Liu C, Sun L, Gao H, Liu J (2009) Neuronal mitochondrial toxicity of malondialdehyde: inhibitory effects on respiratory function and enzyme activities in rat brain mitochondria.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Neurochem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Res 34, 786-794.IF 2.7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48. Long J, Gao H, Sun L, Liu J, Zhao-Wilson X (2009) Grape extract protects mitochondria from oxidative damage and improves locomotor dysfunction and extends lifespan in a Drosophila Parkinson’s disease model. Rejuvenation Res 12, 321-331.IF 4.1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49. Long J, Gao F, Tong L, Cotman CW, Ames BN, Liu J (2009) 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lastRenderedPageBreak/>
        <w:t xml:space="preserve">Mitochondrial decay in the brains of old rats: ameliorating effect of alpha-lipoic acid and acetyl-L-carnitine.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Neurochem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Res 34, 755-763.IF 2.7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50. Hao J, Shen W, Tian C, Liu Z, Ren J, Luo C, Long J, Sharman E, Liu J (2009) Mitochondrial nutrients improve immune dysfunction in the type 2 diabetic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Goto-Kakizaki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rats. J Cell Mol Med 13, 701-711. IF 4.6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51. Luo C, Long J, Liu J (2008) An improved spectrophotometric method for a more specific and accurate assay of mitochondrial complex III activity. Clin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Chim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Acta 395, 38-41. IF 2.85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52. Long J, Liu C, Sun L, Gao H, Liu J (2008) Neuronal Mitochondrial Toxicity of Malondialdehyde: Inhibitory Effects on Respiratory Function and Enzyme Activities in Rat Brain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Mitochondria.Neurochem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Res.IF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2.1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53. Shen H, Zhang Y, Xu J, Long J, Qin H, Liu F, Guo J (2007) Zinc distribution and expression pattern of ZnT3 in mouse brain. Biol Trace Elem Res 119, 166-174. IF 1.5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54. Long J, Wang X, Gao H, Liu Z, Liu C, Miao M, Cui X, Packer L, Liu J (2007) D-galactose toxicity in mice is associated with mitochondrial dysfunction: protecting effects of mitochondrial nutrient R-alpha-lipoic acid. Biogerontology 8, 373-381. IF 3.0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55. Liu Z, Sun L, Zhu L, Jia X, Li X, Jia H, Wang Y, Weber P, Long J, Liu J (2007)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Hydroxytyrosol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protects retinal pigment epithelial cells from acrolein-induced oxidative stress and mitochondrial dysfunction. J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Neurochem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103, 2690-2700.IF 4.1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>56. Sun L, Luo C, Long J, Wei D, Liu J (2006) Acrolein is a mitochondrial toxin: effects on respiratory function and enzyme activities in isolated rat liver mitochondria. Mitochondrion 6, 136-142. IF 3.7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57. Luo C, Wang X, Long J, Liu J (2006) An NADH-tetrazolium-coupled sensitive assay for malate dehydrogenase in mitochondria and crude tissue homogenates. J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Biochem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Biophys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Methods 68, 101-111. IF 2.2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58. Long J, Wang X, Gao H, Liu Z, Liu C, Miao M, Liu J (2006) Malonaldehyde acts as a mitochondrial toxin: Inhibitory effects on respiratory function and enzyme activities in isolated rat liver 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lastRenderedPageBreak/>
        <w:t>mitochondria. Life Sci 79, 1466-1472. IF 2.5</w:t>
      </w:r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br/>
        <w:t xml:space="preserve">59. Cui X,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Zuo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P, Zhang Q, Li X, Hu Y, Long J, Packer L, Liu J (2006) Chronic systemic D-galactose exposure induces memory loss, neurodegeneration, and oxidative damage in mice: protective effects of R-alpha-lipoic acid. J </w:t>
      </w:r>
      <w:proofErr w:type="spellStart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>Neurosci</w:t>
      </w:r>
      <w:proofErr w:type="spellEnd"/>
      <w:r w:rsidRPr="00656F71">
        <w:rPr>
          <w:rFonts w:ascii="GOTHIC" w:eastAsia="굴림" w:hAnsi="GOTHIC" w:cs="굴림"/>
          <w:color w:val="021325"/>
          <w:kern w:val="0"/>
          <w:sz w:val="29"/>
          <w:szCs w:val="29"/>
        </w:rPr>
        <w:t xml:space="preserve"> Res 83, 1584-1590. IF 2.9</w:t>
      </w:r>
    </w:p>
    <w:p w14:paraId="149F6274" w14:textId="77777777" w:rsidR="00294C12" w:rsidRDefault="00294C12"/>
    <w:sectPr w:rsidR="00294C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OTHICB">
    <w:altName w:val="Cambria"/>
    <w:panose1 w:val="00000000000000000000"/>
    <w:charset w:val="00"/>
    <w:family w:val="roman"/>
    <w:notTrueType/>
    <w:pitch w:val="default"/>
  </w:font>
  <w:font w:name="GOTHIC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1775"/>
    <w:multiLevelType w:val="hybridMultilevel"/>
    <w:tmpl w:val="B250263E"/>
    <w:lvl w:ilvl="0" w:tplc="5C8CF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B00AD1"/>
    <w:multiLevelType w:val="multilevel"/>
    <w:tmpl w:val="2C1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F379A"/>
    <w:multiLevelType w:val="multilevel"/>
    <w:tmpl w:val="A66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41"/>
    <w:rsid w:val="00153BCE"/>
    <w:rsid w:val="00294C12"/>
    <w:rsid w:val="00656F71"/>
    <w:rsid w:val="00890D97"/>
    <w:rsid w:val="00C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5BB2"/>
  <w15:chartTrackingRefBased/>
  <w15:docId w15:val="{D6107280-4BC6-414B-84A9-73771392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3BC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E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7E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7E41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153BCE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youn sung</dc:creator>
  <cp:keywords/>
  <dc:description/>
  <cp:lastModifiedBy>Lee youn sung</cp:lastModifiedBy>
  <cp:revision>2</cp:revision>
  <dcterms:created xsi:type="dcterms:W3CDTF">2022-01-02T05:00:00Z</dcterms:created>
  <dcterms:modified xsi:type="dcterms:W3CDTF">2022-01-02T05:00:00Z</dcterms:modified>
</cp:coreProperties>
</file>